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CD" w:rsidRPr="00327DCD" w:rsidRDefault="00327DCD" w:rsidP="00327DCD">
      <w:pPr>
        <w:spacing w:before="100" w:beforeAutospacing="1" w:after="0" w:line="240" w:lineRule="auto"/>
        <w:jc w:val="righ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327DCD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Приложение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3</w:t>
      </w:r>
    </w:p>
    <w:p w:rsidR="00327DCD" w:rsidRPr="00327DCD" w:rsidRDefault="00327DCD" w:rsidP="00327DCD">
      <w:pPr>
        <w:spacing w:before="100" w:beforeAutospacing="1" w:after="0" w:line="240" w:lineRule="auto"/>
        <w:jc w:val="righ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327DCD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Утверждено</w:t>
      </w:r>
    </w:p>
    <w:p w:rsidR="00327DCD" w:rsidRPr="00327DCD" w:rsidRDefault="00327DCD" w:rsidP="00327DCD">
      <w:pPr>
        <w:spacing w:before="100" w:beforeAutospacing="1" w:after="0" w:line="240" w:lineRule="auto"/>
        <w:jc w:val="righ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327DCD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Распоряжением администрации</w:t>
      </w:r>
    </w:p>
    <w:p w:rsidR="00327DCD" w:rsidRPr="00327DCD" w:rsidRDefault="00327DCD" w:rsidP="00327DCD">
      <w:pPr>
        <w:spacing w:before="100" w:beforeAutospacing="1" w:after="0" w:line="240" w:lineRule="auto"/>
        <w:jc w:val="righ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327DCD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МО СП «Иволгинское»</w:t>
      </w:r>
    </w:p>
    <w:p w:rsidR="00327DCD" w:rsidRPr="00327DCD" w:rsidRDefault="00327DCD" w:rsidP="00327DCD">
      <w:pPr>
        <w:spacing w:before="100" w:beforeAutospacing="1" w:after="0" w:line="240" w:lineRule="auto"/>
        <w:jc w:val="right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327DCD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от </w:t>
      </w:r>
      <w:r w:rsidR="009D403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01</w:t>
      </w:r>
      <w:r w:rsidRPr="00327DCD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.1</w:t>
      </w:r>
      <w:r w:rsidR="009D403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1</w:t>
      </w:r>
      <w:r w:rsidRPr="00327DCD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.202</w:t>
      </w:r>
      <w:r w:rsidR="00C37260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4</w:t>
      </w:r>
      <w:r w:rsidRPr="00327DCD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 года № </w:t>
      </w:r>
      <w:r w:rsidR="009D403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388</w:t>
      </w:r>
    </w:p>
    <w:p w:rsidR="00327DCD" w:rsidRDefault="00327DCD" w:rsidP="003E5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260" w:rsidRDefault="003E5E9D" w:rsidP="003E5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</w:t>
      </w:r>
      <w:r w:rsidR="003E2C3D">
        <w:rPr>
          <w:rFonts w:ascii="Times New Roman" w:hAnsi="Times New Roman" w:cs="Times New Roman"/>
          <w:sz w:val="28"/>
          <w:szCs w:val="28"/>
        </w:rPr>
        <w:t>ЗВИТИЯ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СЕЛЬСКОЕ ПОС</w:t>
      </w:r>
      <w:r w:rsidR="003E2C3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ЛЕНИЕ «ИВОЛГИНСКОЕ»</w:t>
      </w:r>
      <w:r w:rsidR="00327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D9" w:rsidRDefault="00327DCD" w:rsidP="003E5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372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372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372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B2928" w:rsidRDefault="00C37260" w:rsidP="006B2928">
      <w:pPr>
        <w:pStyle w:val="a7"/>
        <w:shd w:val="clear" w:color="auto" w:fill="FDFDFD"/>
        <w:spacing w:before="0" w:beforeAutospacing="0" w:after="435" w:afterAutospacing="0"/>
        <w:ind w:firstLine="567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Бюджетная и налоговая политика государства на 2025 год</w:t>
      </w:r>
      <w:r w:rsidR="00F12552">
        <w:rPr>
          <w:color w:val="222222"/>
          <w:sz w:val="30"/>
          <w:szCs w:val="30"/>
        </w:rPr>
        <w:t xml:space="preserve"> и на перспективу 2026-2027 годов</w:t>
      </w:r>
      <w:r>
        <w:rPr>
          <w:color w:val="222222"/>
          <w:sz w:val="30"/>
          <w:szCs w:val="30"/>
        </w:rPr>
        <w:t xml:space="preserve"> реально повлияет на каждого человека нашего поселения. Изменения по налогу на доходы физических лиц, введение туристического налога, оптимизация налоговых расходов имеют отражение в доходной части бюджета сельского поселения. Сами инструменты пока еще не определены. </w:t>
      </w:r>
      <w:r w:rsidR="006B2928">
        <w:rPr>
          <w:color w:val="222222"/>
          <w:sz w:val="30"/>
          <w:szCs w:val="30"/>
        </w:rPr>
        <w:t>Ключевые изменения в течение прогнозного периода коснутся отраслевой структуры экономики, технологий, логистических маршрутов, производственных связей, рынков сбыта, объемов производства, ценообразования, подходов к распределению рабочей силы. Эти изменения, в какой-то степени коснутся и социально-экономического развития муниципального образования сельское поселение «Иволгинское».</w:t>
      </w:r>
    </w:p>
    <w:p w:rsidR="00754CD9" w:rsidRDefault="00754CD9" w:rsidP="006B2928">
      <w:pPr>
        <w:pStyle w:val="a7"/>
        <w:shd w:val="clear" w:color="auto" w:fill="FDFDFD"/>
        <w:spacing w:before="0" w:beforeAutospacing="0" w:after="435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«И</w:t>
      </w:r>
      <w:r w:rsidR="000B1449">
        <w:rPr>
          <w:sz w:val="28"/>
          <w:szCs w:val="28"/>
        </w:rPr>
        <w:t>волгинское» расположено в 30 км</w:t>
      </w:r>
      <w:proofErr w:type="gramStart"/>
      <w:r w:rsidR="000B144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 столицы Республики Бурятия </w:t>
      </w:r>
      <w:r w:rsidR="006B2928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Улан-Удэ. В состав муниципального образования входит 8 населенных пунктов,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районный центр Иволгинск. Численность населения составляет 1</w:t>
      </w:r>
      <w:r w:rsidR="00F12552">
        <w:rPr>
          <w:sz w:val="28"/>
          <w:szCs w:val="28"/>
        </w:rPr>
        <w:t>1333</w:t>
      </w:r>
      <w:r>
        <w:rPr>
          <w:sz w:val="28"/>
          <w:szCs w:val="28"/>
        </w:rPr>
        <w:t xml:space="preserve"> человека.</w:t>
      </w:r>
      <w:r w:rsidR="0031322F">
        <w:rPr>
          <w:sz w:val="28"/>
          <w:szCs w:val="28"/>
        </w:rPr>
        <w:t xml:space="preserve"> </w:t>
      </w:r>
    </w:p>
    <w:p w:rsidR="00754CD9" w:rsidRPr="00754CD9" w:rsidRDefault="00754CD9" w:rsidP="00754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Характерная черта климата на территории поселения – резкая </w:t>
      </w:r>
      <w:proofErr w:type="spellStart"/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континентальность</w:t>
      </w:r>
      <w:proofErr w:type="spellEnd"/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Зима умеренно-суровая, в долинах малоснежная. Снежный покров незначительный, всего 5 – </w:t>
      </w:r>
      <w:smartTag w:uri="urn:schemas-microsoft-com:office:smarttags" w:element="metricconverter">
        <w:smartTagPr>
          <w:attr w:name="ProductID" w:val="10 см"/>
        </w:smartTagPr>
        <w:r w:rsidRPr="0075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см</w:t>
        </w:r>
      </w:smartTag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Низкие зимние температуры, небольшой снежный покров способствуют глубокому промерзанию почв. Сильные ветра весной, низкая влажность воздуха, способствуют </w:t>
      </w:r>
      <w:proofErr w:type="spellStart"/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подсыханию</w:t>
      </w:r>
      <w:proofErr w:type="spellEnd"/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почвы, развитию ветровой эрозии на полях хозяйств. Лето короткое, жаркое.</w:t>
      </w:r>
    </w:p>
    <w:p w:rsidR="00754CD9" w:rsidRPr="00754CD9" w:rsidRDefault="00754CD9" w:rsidP="00754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Площадь поселения составляет 82,1 тыс. га, в том числе в ведении поселения находится 0,47 тыс. га. Площадь земли, предоставленная </w:t>
      </w:r>
      <w:r w:rsidRPr="00754C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физическим лицам во владение и пользование, составляет 0,16 тыс. га; предоставленная юридическим лицам во владение и пользование 75,8 тыс. га.</w:t>
      </w:r>
    </w:p>
    <w:p w:rsidR="00754CD9" w:rsidRDefault="00754CD9" w:rsidP="00754CD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 году поселению переданы сельскохозяйственные земли бывшего ОПХ «Иволгинское», около 10 тыс. гектаров. В течение </w:t>
      </w:r>
      <w:r w:rsidR="00FE65B2">
        <w:rPr>
          <w:rFonts w:ascii="Times New Roman" w:hAnsi="Times New Roman" w:cs="Times New Roman"/>
          <w:sz w:val="28"/>
          <w:szCs w:val="28"/>
        </w:rPr>
        <w:t>2022</w:t>
      </w:r>
      <w:r w:rsidR="00D93410">
        <w:rPr>
          <w:rFonts w:ascii="Times New Roman" w:hAnsi="Times New Roman" w:cs="Times New Roman"/>
          <w:sz w:val="28"/>
          <w:szCs w:val="28"/>
        </w:rPr>
        <w:t>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r w:rsidR="00D93410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земель передана ИП, КФХ для ведения сельского хозяйства.</w:t>
      </w:r>
      <w:r w:rsidR="00D93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552">
        <w:rPr>
          <w:rFonts w:ascii="Times New Roman" w:hAnsi="Times New Roman" w:cs="Times New Roman"/>
          <w:sz w:val="28"/>
          <w:szCs w:val="28"/>
        </w:rPr>
        <w:t>Оформившие договора аренды в 2021 году в течени</w:t>
      </w:r>
      <w:r w:rsidR="009904EC">
        <w:rPr>
          <w:rFonts w:ascii="Times New Roman" w:hAnsi="Times New Roman" w:cs="Times New Roman"/>
          <w:sz w:val="28"/>
          <w:szCs w:val="28"/>
        </w:rPr>
        <w:t>е</w:t>
      </w:r>
      <w:r w:rsidR="00F12552">
        <w:rPr>
          <w:rFonts w:ascii="Times New Roman" w:hAnsi="Times New Roman" w:cs="Times New Roman"/>
          <w:sz w:val="28"/>
          <w:szCs w:val="28"/>
        </w:rPr>
        <w:t xml:space="preserve"> 2024 года проходят переоформление на ближайшие 5 лет.  </w:t>
      </w:r>
      <w:proofErr w:type="gramEnd"/>
    </w:p>
    <w:p w:rsidR="00754CD9" w:rsidRPr="00754CD9" w:rsidRDefault="00754CD9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довольно продолжительная около 6 месяцев, холодная, малоснежная, средняя минимальная температура воздуха зимой – С</w:t>
      </w:r>
      <w:proofErr w:type="gramStart"/>
      <w:r w:rsidRPr="00754C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End"/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 летом выше С</w:t>
      </w:r>
      <w:r w:rsidRPr="00754C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тепла. Средне многолетнее количество осадков за год не превышает </w:t>
      </w:r>
      <w:smartTag w:uri="urn:schemas-microsoft-com:office:smarttags" w:element="metricconverter">
        <w:smartTagPr>
          <w:attr w:name="ProductID" w:val="349 мм"/>
        </w:smartTagPr>
        <w:r w:rsidRPr="0075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349 мм</w:t>
        </w:r>
      </w:smartTag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Зимние осадки составляют не более 10 % от годового количества, что определяется малой мощностью снежного покрова, высота которого колеблется от 1до </w:t>
      </w:r>
      <w:smartTag w:uri="urn:schemas-microsoft-com:office:smarttags" w:element="metricconverter">
        <w:smartTagPr>
          <w:attr w:name="ProductID" w:val="13 см"/>
        </w:smartTagPr>
        <w:r w:rsidRPr="0075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 см</w:t>
        </w:r>
      </w:smartTag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CD9" w:rsidRPr="00754CD9" w:rsidRDefault="00754CD9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высота снежного покрова способствует глубокому промерзанию почвы до 3-х метров. Поздние весенние заморозки удерживаются до конца мая, а иногда до 1 декады июня, продолжительность безморозного периода в среднем составляет в среднем 120 дней.</w:t>
      </w:r>
    </w:p>
    <w:p w:rsidR="00754CD9" w:rsidRPr="00754CD9" w:rsidRDefault="00754CD9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преобладают песчаные и тёмно – каштановые почвы.</w:t>
      </w:r>
    </w:p>
    <w:p w:rsidR="00754CD9" w:rsidRPr="00754CD9" w:rsidRDefault="00754CD9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достаточном внесение удобрений в почву, нормальном орошении есть возможность выращивать любые виды культур, повысить урожайность. Имеющаяся система орошения в настоящее время пришла в негодность.</w:t>
      </w:r>
    </w:p>
    <w:p w:rsidR="00754CD9" w:rsidRDefault="00754CD9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Уникальные природные и археологические памятники, обширные охотничьи угодья, позволяют развивать познавательный, экологический и спортивный туризм и создают великолепные условия для оздоровления и отдыха.</w:t>
      </w:r>
    </w:p>
    <w:p w:rsidR="009E6B1A" w:rsidRDefault="009E6B1A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1A" w:rsidRDefault="009E6B1A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 товаропроизвод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получили земли, поэтому в ближайшие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развитие животноводства и растениеводства. </w:t>
      </w:r>
      <w:r w:rsidR="00E13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Пригородное расположение будет способствовать развитию овощеводства.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410" w:rsidRDefault="00D93410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01.10.202</w:t>
      </w:r>
      <w:r w:rsidR="009904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поголовье в личных подсоб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хозяйствах сельского поселения:</w:t>
      </w:r>
    </w:p>
    <w:p w:rsidR="00734C7B" w:rsidRDefault="00734C7B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6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0"/>
        <w:gridCol w:w="1027"/>
        <w:gridCol w:w="867"/>
        <w:gridCol w:w="829"/>
        <w:gridCol w:w="844"/>
        <w:gridCol w:w="829"/>
        <w:gridCol w:w="829"/>
        <w:gridCol w:w="876"/>
        <w:gridCol w:w="869"/>
        <w:gridCol w:w="689"/>
        <w:gridCol w:w="829"/>
        <w:gridCol w:w="993"/>
      </w:tblGrid>
      <w:tr w:rsidR="009904EC" w:rsidRPr="009904EC" w:rsidTr="009904EC">
        <w:trPr>
          <w:trHeight w:val="300"/>
        </w:trPr>
        <w:tc>
          <w:tcPr>
            <w:tcW w:w="114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:M31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Реестр движения скота в ЛПХ по СП "Иволгинское" на 01.10.2024г. </w:t>
            </w:r>
            <w:bookmarkEnd w:id="1"/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Поголовье скота на 01.01.24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приход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поголовье скота на 01.10.24</w:t>
            </w:r>
          </w:p>
        </w:tc>
      </w:tr>
      <w:tr w:rsidR="009904EC" w:rsidRPr="009904EC" w:rsidTr="009904EC">
        <w:trPr>
          <w:trHeight w:val="9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приплод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перевод скота из группы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перевод из КФХ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перевод скота из группы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мясом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живым весом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падеж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перевод в ИП (КФХ)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КРС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2611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коровы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быки-производители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нетели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молодняк КРС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молодняк </w:t>
            </w:r>
            <w:proofErr w:type="spell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</w:t>
            </w:r>
            <w:proofErr w:type="gram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2. Овцы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1188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овцематки и к/</w:t>
            </w:r>
            <w:proofErr w:type="gram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бараны-производители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молодняк овец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молодняк текущего года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Козы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gram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/матки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козлы-</w:t>
            </w:r>
            <w:proofErr w:type="spell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молодняк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молодняк </w:t>
            </w:r>
            <w:proofErr w:type="spell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</w:t>
            </w:r>
            <w:proofErr w:type="spellEnd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Лошади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211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кобылицы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жеребцы-производители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рабочие лошади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молодняк лошадей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молодняк текущего года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Свиньи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293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свиноматки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хряки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молодняк свиней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поросята до 4 </w:t>
            </w:r>
            <w:proofErr w:type="spellStart"/>
            <w:proofErr w:type="gramStart"/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9904EC" w:rsidRPr="009904EC" w:rsidTr="009904E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Птицы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4EC" w:rsidRPr="009904EC" w:rsidRDefault="009904EC" w:rsidP="0099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4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</w:t>
            </w:r>
          </w:p>
        </w:tc>
      </w:tr>
    </w:tbl>
    <w:p w:rsidR="00D93410" w:rsidRDefault="00D93410" w:rsidP="00D93410">
      <w:pPr>
        <w:tabs>
          <w:tab w:val="left" w:pos="-270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96B" w:rsidRDefault="0019496B" w:rsidP="0019496B">
      <w:pPr>
        <w:tabs>
          <w:tab w:val="left" w:pos="-270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имеются разные виды домашних животных, начиная с птиц заканчивая лошадьми. Очень популярно стало разводить лошадей, т.к. они питаются подножным кормов. 5 КФХ занимаются лошадьми.</w:t>
      </w:r>
    </w:p>
    <w:p w:rsidR="009E6B1A" w:rsidRDefault="009E6B1A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строительство </w:t>
      </w:r>
      <w:r w:rsidR="0099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450 мест. </w:t>
      </w:r>
      <w:r w:rsidR="00E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ожидается 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открытие</w:t>
      </w:r>
      <w:r w:rsidR="00E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Строительство ветеринарной станции отложено.</w:t>
      </w:r>
      <w:r w:rsidR="00E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важных вопросов является строительство стационара больницы. В 2021 году было принято решение строить его возле существующей поликлиники на 250 койко-мест. </w:t>
      </w:r>
      <w:proofErr w:type="gramStart"/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Проектно-сметная документация 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устарела, для дальнейшей работ по проектированию нужны дополнительные финансовые средства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какую программу войти.</w:t>
      </w:r>
      <w:proofErr w:type="gramEnd"/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сделали ремонт дороги по улице Центральной </w:t>
      </w:r>
      <w:proofErr w:type="gramStart"/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Иволга. 22 октября было открытие нового просторного гипермаркета «Абсолют», нового помещения для МФЦ, планируется раздевалка для хоккейной площадки. 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549" w:rsidRDefault="00E13549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многочисленным просьбам СНТ «ОПХ» состоящих из бывш</w:t>
      </w:r>
      <w:r w:rsidR="00D8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работников ОПХ «Иволгинское»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выделили землю в сторону Иволгинского дацана.</w:t>
      </w:r>
      <w:r w:rsidR="0049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СНТ установили ТП для энергообеспечения земельных участков. Было предоставлено 148 земельных участков бывшим работникам ОПХ.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148 членов СНТ выкупили земельные участки.</w:t>
      </w:r>
    </w:p>
    <w:p w:rsidR="00CB17F0" w:rsidRDefault="00FE3F5C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Бывшее помещение БРАТТ реконструировано под офисные помещения для управления образования МО «Иволгинский район». Так же там разместился офис теплоснабжающей организац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«Тепловик». </w:t>
      </w:r>
    </w:p>
    <w:p w:rsidR="00D85B9B" w:rsidRDefault="00CB17F0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реализации национального проекта «Комфортная городская среда» сделано очень мн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3F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прошло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r w:rsidR="0049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площадки в селе </w:t>
      </w:r>
      <w:proofErr w:type="spellStart"/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904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площадки в квартале </w:t>
      </w:r>
      <w:r w:rsidR="00494E2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Иволгинск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переулке Дорожный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ведутся работы по определению 12 земельных участков под детские площадки по данной программе до 2030 года.  Планируется ремонт уже построенных площадок, т.к. они приходят в негодность. </w:t>
      </w:r>
    </w:p>
    <w:p w:rsidR="00494E2F" w:rsidRDefault="00494E2F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202</w:t>
      </w:r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территориальные</w:t>
      </w:r>
      <w:r w:rsid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участвовать в Республиканском конкурсе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ТОС</w:t>
      </w:r>
      <w:r w:rsid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ТОС ежегодно принимают участие в конкурсе, за счет выигранных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оят детские площадки, ремонтируют уличные тренажеры, проводят разные мероприятия для детей. </w:t>
      </w:r>
      <w:r w:rsidR="004A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Премиальные средства являются большим подспорьем для ТОС и села.  </w:t>
      </w:r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полученные премиальные в сумме 585 тыс. рублей были направлены на уставную деятельность ТОС. Так жители </w:t>
      </w:r>
      <w:proofErr w:type="gramStart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Иволга ТОС «</w:t>
      </w:r>
      <w:proofErr w:type="spellStart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Ошор</w:t>
      </w:r>
      <w:proofErr w:type="spellEnd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Булаг</w:t>
      </w:r>
      <w:proofErr w:type="spellEnd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170,0 тыс. рублей купили </w:t>
      </w:r>
      <w:proofErr w:type="spellStart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профлист</w:t>
      </w:r>
      <w:proofErr w:type="spellEnd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силами жителей методом народной стройки ведет работы по обшивке борцовского зала. ТОС «Содружество» на премию сделали ограждение и сантехнику в подвальном </w:t>
      </w:r>
      <w:proofErr w:type="gramStart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proofErr w:type="gramEnd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оборудованном под теннисный зал. ТОС «</w:t>
      </w:r>
      <w:proofErr w:type="spellStart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Красноярово оборудовали во второй половине музея дом со старинным бытом. ТОС «Юность» с. Иволгинск оборудовали комнату отдыха. ТОС «Надежда» п. </w:t>
      </w:r>
      <w:proofErr w:type="spellStart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Тапхар</w:t>
      </w:r>
      <w:proofErr w:type="spellEnd"/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всю премию приобрели 15 пар сценической обуви.</w:t>
      </w:r>
    </w:p>
    <w:p w:rsidR="00DE58B0" w:rsidRDefault="00DE58B0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налаживания работы по сбору ТКО и своевременной оплаты в администрации поселения предоставлено рабочее место 1 специалист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Экоальянс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появились большие проблемы с вывозом ТКО. Рассматриваются разные варианты вывоза: как есть от каждого дома или устройство контейнерных площадок. В связи с этим есть потребность в дополнительных финансовых средствах и в местах устройства площадок. Не все желают видеть возле своего дома контейнерную площадку, это чревато в летнее время музами и запахами, и сбором выпавшего мусора.</w:t>
      </w:r>
    </w:p>
    <w:p w:rsidR="004A38B2" w:rsidRDefault="004A38B2" w:rsidP="00754CD9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тесно сотрудничает со</w:t>
      </w:r>
      <w:r w:rsidR="0030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учреждениями и организациями по проблемам бродячих собак, по вольному выгулу сельскохозяйственных животных. Будет продолжена работа по наполняемости новой информационной системы РЕГ-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книга). 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 работа по внедрени</w:t>
      </w:r>
      <w:r w:rsidR="003074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государственной информационной системе </w:t>
      </w:r>
      <w:proofErr w:type="spellStart"/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 Установлены сроки в течение 6 месяцев внести всю информацию.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Кроме, того </w:t>
      </w:r>
      <w:r w:rsidR="00A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работа по информационной системе ГОС-ВЕБ.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Кроме, того начата работа по </w:t>
      </w:r>
      <w:proofErr w:type="spellStart"/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в КЦР. Установлены сроки в течение 6 месяцев.</w:t>
      </w:r>
    </w:p>
    <w:p w:rsidR="004A38B2" w:rsidRDefault="00A02644" w:rsidP="000C4CAE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 </w:t>
      </w:r>
      <w:r w:rsidR="00D0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процесс 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</w:t>
      </w:r>
      <w:r w:rsidR="00D04DE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04D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переда</w:t>
      </w:r>
      <w:r w:rsidR="00D04D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полномочия по </w:t>
      </w:r>
      <w:r w:rsidR="000C4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культуре МО «Иволгинский район». </w:t>
      </w:r>
      <w:r w:rsidR="00D04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был завершен только к 1 июля 2024 года.</w:t>
      </w:r>
    </w:p>
    <w:p w:rsidR="004A38B2" w:rsidRDefault="00D04DE7" w:rsidP="00D04DE7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6-8 сентября прошло большое событие открытие нового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Согчен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Иволгинском дацане. Это мероприятие всероссийского масштаба и для буддистов нашей страны. Кроме основного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открытие памятника Екатерине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Дамба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комплексов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жагаан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магазин, бухгалтерия). Продолжаются работы в местности березы Доржиевым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ламой по создание религиозного буддийского центра. Весной прошло открытие </w:t>
      </w:r>
      <w:r w:rsidR="0093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визитного центра при въезде в селе Верхняя Иволга. Проведено </w:t>
      </w:r>
      <w:r w:rsidR="003074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освящен</w:t>
      </w:r>
      <w:r w:rsidR="0093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служителями Иволгинского дацана местности «Плато </w:t>
      </w:r>
      <w:proofErr w:type="spellStart"/>
      <w:r w:rsidR="009350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</w:t>
      </w:r>
      <w:proofErr w:type="spellEnd"/>
      <w:r w:rsidR="0093503D">
        <w:rPr>
          <w:rFonts w:ascii="Times New Roman" w:eastAsia="Times New Roman" w:hAnsi="Times New Roman" w:cs="Times New Roman"/>
          <w:sz w:val="28"/>
          <w:szCs w:val="28"/>
          <w:lang w:eastAsia="ru-RU"/>
        </w:rPr>
        <w:t>-Хана». В дальнейшем планируется создать точку притяжения туристов с пешим маршрутом. По легенде это святое место станет местом исцеления, в перспективе люди получать возможность с пользой провести посещение этого святого места. Этот проект будет реализован на сумму 240,0 млн. рублей.</w:t>
      </w:r>
    </w:p>
    <w:p w:rsidR="0093503D" w:rsidRDefault="0093503D" w:rsidP="00D04DE7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этого </w:t>
      </w:r>
      <w:r w:rsidR="0030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жителей Иволгинска, Верхней Иволги и Нижней Иволги проведен ремонт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Халюта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Отсыпана дорога, установлено железобетонная труба для отвода воды. Для этих целей были собраны финансовые средства жителей этих 3 сел. Администрация района готовит проект благоустройства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дальнейшей его реализации. Идет публичное обсуждение данного проекта.</w:t>
      </w:r>
    </w:p>
    <w:p w:rsidR="002D2903" w:rsidRDefault="0093503D" w:rsidP="00D04DE7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Иволгинск является районным центром, через который проходят многие туристические маршруты. В связи с этим начат</w:t>
      </w:r>
      <w:r w:rsidR="00307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проекта по созданию парка по адресу с. Иволгинск ул. Ленина 98, 100, 102. В настоящее время идет сбор предложений по наполняемости этого парка. В дальнейшем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 </w:t>
      </w:r>
      <w:r w:rsid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центра села Иволгинск, как туристического. С восточной стороны «Плато </w:t>
      </w:r>
      <w:proofErr w:type="spellStart"/>
      <w:r w:rsid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</w:t>
      </w:r>
      <w:proofErr w:type="spellEnd"/>
      <w:r w:rsid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-Хана», с Западной стороны Центр Буддизма Иволгинский дацан, с северо-западной стороны </w:t>
      </w:r>
      <w:proofErr w:type="spellStart"/>
      <w:r w:rsid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</w:t>
      </w:r>
      <w:proofErr w:type="spellEnd"/>
      <w:r w:rsid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Халюта</w:t>
      </w:r>
      <w:proofErr w:type="spellEnd"/>
      <w:r w:rsidR="002D29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центр притяжения парк с. Иволгинск.</w:t>
      </w:r>
    </w:p>
    <w:p w:rsidR="0093503D" w:rsidRDefault="002D2903" w:rsidP="00D04DE7">
      <w:pPr>
        <w:tabs>
          <w:tab w:val="left" w:pos="-2700"/>
        </w:tabs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населения приобрел новое помещение с торца административного здания Пенсионного фонда по Иволгинскому району с. Иволгинск по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Открылся новый дом быта</w:t>
      </w:r>
      <w:r w:rsidR="0030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Иволгинск ул. Лебедева д. 9 и </w:t>
      </w:r>
      <w:proofErr w:type="spellStart"/>
      <w:r w:rsidR="0030749E">
        <w:rPr>
          <w:rFonts w:ascii="Times New Roman" w:eastAsia="Times New Roman" w:hAnsi="Times New Roman" w:cs="Times New Roman"/>
          <w:sz w:val="28"/>
          <w:szCs w:val="28"/>
          <w:lang w:eastAsia="ru-RU"/>
        </w:rPr>
        <w:t>Кяхтинская</w:t>
      </w:r>
      <w:proofErr w:type="spellEnd"/>
      <w:r w:rsidR="0030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11б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предоставляются разные услуги: парикмахера, массажиста, и т.д.</w:t>
      </w:r>
    </w:p>
    <w:p w:rsidR="004A38B2" w:rsidRDefault="000C4CAE" w:rsidP="000C4CA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15, 16 и 17 марта 2024 года </w:t>
      </w:r>
      <w:r w:rsidR="00D04DE7">
        <w:rPr>
          <w:rFonts w:ascii="Times New Roman" w:hAnsi="Times New Roman" w:cs="Times New Roman"/>
          <w:sz w:val="28"/>
          <w:szCs w:val="28"/>
        </w:rPr>
        <w:t>прошли</w:t>
      </w:r>
      <w:r>
        <w:rPr>
          <w:rFonts w:ascii="Times New Roman" w:hAnsi="Times New Roman" w:cs="Times New Roman"/>
          <w:sz w:val="28"/>
          <w:szCs w:val="28"/>
        </w:rPr>
        <w:t xml:space="preserve"> выборы Президента Российской Федерации. Поселение </w:t>
      </w:r>
      <w:r w:rsidR="00D04DE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04A97">
        <w:rPr>
          <w:rFonts w:ascii="Times New Roman" w:hAnsi="Times New Roman" w:cs="Times New Roman"/>
          <w:sz w:val="28"/>
          <w:szCs w:val="28"/>
        </w:rPr>
        <w:t>отови</w:t>
      </w:r>
      <w:r w:rsidR="00D04DE7">
        <w:rPr>
          <w:rFonts w:ascii="Times New Roman" w:hAnsi="Times New Roman" w:cs="Times New Roman"/>
          <w:sz w:val="28"/>
          <w:szCs w:val="28"/>
        </w:rPr>
        <w:t>ло</w:t>
      </w:r>
      <w:r w:rsidR="00304A97">
        <w:rPr>
          <w:rFonts w:ascii="Times New Roman" w:hAnsi="Times New Roman" w:cs="Times New Roman"/>
          <w:sz w:val="28"/>
          <w:szCs w:val="28"/>
        </w:rPr>
        <w:t xml:space="preserve"> из</w:t>
      </w:r>
      <w:r w:rsidR="00D04DE7">
        <w:rPr>
          <w:rFonts w:ascii="Times New Roman" w:hAnsi="Times New Roman" w:cs="Times New Roman"/>
          <w:sz w:val="28"/>
          <w:szCs w:val="28"/>
        </w:rPr>
        <w:t>бирательные участки, обеспечило</w:t>
      </w:r>
      <w:r w:rsidR="00304A97">
        <w:rPr>
          <w:rFonts w:ascii="Times New Roman" w:hAnsi="Times New Roman" w:cs="Times New Roman"/>
          <w:sz w:val="28"/>
          <w:szCs w:val="28"/>
        </w:rPr>
        <w:t xml:space="preserve"> оргтехникой.</w:t>
      </w:r>
      <w:r w:rsidR="00D04DE7">
        <w:rPr>
          <w:rFonts w:ascii="Times New Roman" w:hAnsi="Times New Roman" w:cs="Times New Roman"/>
          <w:sz w:val="28"/>
          <w:szCs w:val="28"/>
        </w:rPr>
        <w:t xml:space="preserve"> Население показало хорошую явку. Активно в </w:t>
      </w:r>
      <w:proofErr w:type="gramStart"/>
      <w:r w:rsidR="00D04DE7">
        <w:rPr>
          <w:rFonts w:ascii="Times New Roman" w:hAnsi="Times New Roman" w:cs="Times New Roman"/>
          <w:sz w:val="28"/>
          <w:szCs w:val="28"/>
        </w:rPr>
        <w:t>предвыборной компании</w:t>
      </w:r>
      <w:proofErr w:type="gramEnd"/>
      <w:r w:rsidR="00D04DE7">
        <w:rPr>
          <w:rFonts w:ascii="Times New Roman" w:hAnsi="Times New Roman" w:cs="Times New Roman"/>
          <w:sz w:val="28"/>
          <w:szCs w:val="28"/>
        </w:rPr>
        <w:t xml:space="preserve"> принимали участие все ТОС сельского поселения «Иволгинское». Ими были организованы различные торговые площадки, спортивные игры и выставки народного творчества.</w:t>
      </w:r>
    </w:p>
    <w:p w:rsidR="00D04DE7" w:rsidRDefault="00D04DE7" w:rsidP="000C4CA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710E"/>
    <w:multiLevelType w:val="hybridMultilevel"/>
    <w:tmpl w:val="81D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74"/>
    <w:rsid w:val="000258A6"/>
    <w:rsid w:val="00044333"/>
    <w:rsid w:val="000B1449"/>
    <w:rsid w:val="000C0C7D"/>
    <w:rsid w:val="000C4CAE"/>
    <w:rsid w:val="0019496B"/>
    <w:rsid w:val="001F3B74"/>
    <w:rsid w:val="00212B7B"/>
    <w:rsid w:val="002D2903"/>
    <w:rsid w:val="002D5ECE"/>
    <w:rsid w:val="00304A97"/>
    <w:rsid w:val="0030749E"/>
    <w:rsid w:val="0031322F"/>
    <w:rsid w:val="00327DCD"/>
    <w:rsid w:val="003A7F68"/>
    <w:rsid w:val="003E2C3D"/>
    <w:rsid w:val="003E5E9D"/>
    <w:rsid w:val="00413872"/>
    <w:rsid w:val="004862E2"/>
    <w:rsid w:val="00494E2F"/>
    <w:rsid w:val="004A38B2"/>
    <w:rsid w:val="00543244"/>
    <w:rsid w:val="006B2928"/>
    <w:rsid w:val="00734C7B"/>
    <w:rsid w:val="00754CD9"/>
    <w:rsid w:val="00761B60"/>
    <w:rsid w:val="007E222E"/>
    <w:rsid w:val="008B10AD"/>
    <w:rsid w:val="0093503D"/>
    <w:rsid w:val="009904EC"/>
    <w:rsid w:val="009D403A"/>
    <w:rsid w:val="009E6B1A"/>
    <w:rsid w:val="00A02644"/>
    <w:rsid w:val="00A07DBF"/>
    <w:rsid w:val="00AD0051"/>
    <w:rsid w:val="00C37260"/>
    <w:rsid w:val="00CB17F0"/>
    <w:rsid w:val="00D04DE7"/>
    <w:rsid w:val="00D65E9C"/>
    <w:rsid w:val="00D85B9B"/>
    <w:rsid w:val="00D873DA"/>
    <w:rsid w:val="00D93410"/>
    <w:rsid w:val="00DE58B0"/>
    <w:rsid w:val="00E13549"/>
    <w:rsid w:val="00EB2871"/>
    <w:rsid w:val="00F12552"/>
    <w:rsid w:val="00FE3F5C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44"/>
    <w:pPr>
      <w:ind w:left="720"/>
      <w:contextualSpacing/>
    </w:pPr>
  </w:style>
  <w:style w:type="table" w:styleId="a4">
    <w:name w:val="Table Grid"/>
    <w:basedOn w:val="a1"/>
    <w:uiPriority w:val="59"/>
    <w:rsid w:val="0054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B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44"/>
    <w:pPr>
      <w:ind w:left="720"/>
      <w:contextualSpacing/>
    </w:pPr>
  </w:style>
  <w:style w:type="table" w:styleId="a4">
    <w:name w:val="Table Grid"/>
    <w:basedOn w:val="a1"/>
    <w:uiPriority w:val="59"/>
    <w:rsid w:val="0054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B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2024-10-30T06:02:00Z</cp:lastPrinted>
  <dcterms:created xsi:type="dcterms:W3CDTF">2024-10-28T00:19:00Z</dcterms:created>
  <dcterms:modified xsi:type="dcterms:W3CDTF">2025-01-22T05:56:00Z</dcterms:modified>
</cp:coreProperties>
</file>